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pPr>
      <w:r>
        <w:rPr>
          <w:rFonts w:ascii="Yu Gothic" w:hAnsi="Yu Gothic" w:eastAsia="Yu Gothic"/>
          <w:b/>
          <w:i w:val="0"/>
          <w:color w:val="C8102E"/>
          <w:sz w:val="20"/>
        </w:rPr>
        <w:t>寄り道研究所｜企業・技術観測</w:t>
      </w:r>
    </w:p>
    <w:p>
      <w:pPr>
        <w:spacing w:after="160"/>
      </w:pPr>
      <w:r>
        <w:rPr>
          <w:rFonts w:ascii="Yu Gothic" w:hAnsi="Yu Gothic" w:eastAsia="Yu Gothic"/>
          <w:b/>
          <w:i w:val="0"/>
          <w:color w:val="19324A"/>
          <w:sz w:val="50"/>
        </w:rPr>
        <w:t>NANO Gateway構想から</w:t>
        <w:br/>
        <w:t>ナティアス投資の実行へ</w:t>
      </w:r>
    </w:p>
    <w:p>
      <w:pPr>
        <w:spacing w:after="360"/>
      </w:pPr>
      <w:r>
        <w:rPr>
          <w:rFonts w:ascii="Yu Gothic" w:hAnsi="Yu Gothic" w:eastAsia="Yu Gothic"/>
          <w:b w:val="0"/>
          <w:i w:val="0"/>
          <w:color w:val="2E74B5"/>
          <w:sz w:val="27"/>
        </w:rPr>
        <w:t>日本の創薬技術を「投資可能な資産」に変換する仕組み</w:t>
      </w:r>
    </w:p>
    <w:tbl>
      <w:tblPr>
        <w:tblW w:type="dxa" w:w="9360"/>
        <w:jc w:val="left"/>
        <w:tblLayout w:type="fixed"/>
        <w:tblLook w:firstColumn="1" w:firstRow="1" w:lastColumn="0" w:lastRow="0" w:noHBand="0" w:noVBand="1" w:val="04A0"/>
        <w:tblInd w:w="120" w:type="dxa"/>
      </w:tblPr>
      <w:tblGrid>
        <w:gridCol w:w="1900"/>
        <w:gridCol w:w="7460"/>
      </w:tblGrid>
      <w:tr>
        <w:trPr>
          <w:cantSplit/>
        </w:trPr>
        <w:tc>
          <w:tcPr>
            <w:tcW w:type="dxa" w:w="1900"/>
            <w:tcMar>
              <w:top w:w="90" w:type="dxa"/>
              <w:start w:w="120" w:type="dxa"/>
              <w:bottom w:w="90" w:type="dxa"/>
              <w:end w:w="120" w:type="dxa"/>
            </w:tcMar>
            <w:shd w:fill="F2F4F7"/>
          </w:tcPr>
          <w:p>
            <w:r>
              <w:rPr>
                <w:rFonts w:ascii="Yu Gothic" w:hAnsi="Yu Gothic" w:eastAsia="Yu Gothic"/>
                <w:b/>
                <w:color w:val="19324A"/>
                <w:sz w:val="19"/>
              </w:rPr>
              <w:t>作成日</w:t>
            </w:r>
          </w:p>
        </w:tc>
        <w:tc>
          <w:tcPr>
            <w:tcW w:type="dxa" w:w="7460"/>
            <w:tcMar>
              <w:top w:w="90" w:type="dxa"/>
              <w:start w:w="120" w:type="dxa"/>
              <w:bottom w:w="90" w:type="dxa"/>
              <w:end w:w="120" w:type="dxa"/>
            </w:tcMar>
          </w:tcPr>
          <w:p>
            <w:r>
              <w:rPr>
                <w:rFonts w:ascii="Yu Gothic" w:hAnsi="Yu Gothic" w:eastAsia="Yu Gothic"/>
                <w:sz w:val="19"/>
              </w:rPr>
              <w:t>2026年9月7日</w:t>
            </w:r>
          </w:p>
        </w:tc>
      </w:tr>
      <w:tr>
        <w:trPr>
          <w:cantSplit/>
        </w:trPr>
        <w:tc>
          <w:tcPr>
            <w:tcW w:type="dxa" w:w="1900"/>
            <w:tcMar>
              <w:top w:w="90" w:type="dxa"/>
              <w:start w:w="120" w:type="dxa"/>
              <w:bottom w:w="90" w:type="dxa"/>
              <w:end w:w="120" w:type="dxa"/>
            </w:tcMar>
            <w:shd w:fill="F2F4F7"/>
          </w:tcPr>
          <w:p>
            <w:r>
              <w:rPr>
                <w:rFonts w:ascii="Yu Gothic" w:hAnsi="Yu Gothic" w:eastAsia="Yu Gothic"/>
                <w:b/>
                <w:color w:val="19324A"/>
                <w:sz w:val="19"/>
              </w:rPr>
              <w:t>分類</w:t>
            </w:r>
          </w:p>
        </w:tc>
        <w:tc>
          <w:tcPr>
            <w:tcW w:type="dxa" w:w="7460"/>
            <w:tcMar>
              <w:top w:w="90" w:type="dxa"/>
              <w:start w:w="120" w:type="dxa"/>
              <w:bottom w:w="90" w:type="dxa"/>
              <w:end w:w="120" w:type="dxa"/>
            </w:tcMar>
          </w:tcPr>
          <w:p>
            <w:r>
              <w:rPr>
                <w:rFonts w:ascii="Yu Gothic" w:hAnsi="Yu Gothic" w:eastAsia="Yu Gothic"/>
                <w:sz w:val="19"/>
              </w:rPr>
              <w:t>NANOホールディングス／Nano Bridge Investment／ナティアス</w:t>
            </w:r>
          </w:p>
        </w:tc>
      </w:tr>
      <w:tr>
        <w:trPr>
          <w:cantSplit/>
        </w:trPr>
        <w:tc>
          <w:tcPr>
            <w:tcW w:type="dxa" w:w="1900"/>
            <w:tcMar>
              <w:top w:w="90" w:type="dxa"/>
              <w:start w:w="120" w:type="dxa"/>
              <w:bottom w:w="90" w:type="dxa"/>
              <w:end w:w="120" w:type="dxa"/>
            </w:tcMar>
            <w:shd w:fill="F2F4F7"/>
          </w:tcPr>
          <w:p>
            <w:r>
              <w:rPr>
                <w:rFonts w:ascii="Yu Gothic" w:hAnsi="Yu Gothic" w:eastAsia="Yu Gothic"/>
                <w:b/>
                <w:color w:val="19324A"/>
                <w:sz w:val="19"/>
              </w:rPr>
              <w:t>資料区分</w:t>
            </w:r>
          </w:p>
        </w:tc>
        <w:tc>
          <w:tcPr>
            <w:tcW w:type="dxa" w:w="7460"/>
            <w:tcMar>
              <w:top w:w="90" w:type="dxa"/>
              <w:start w:w="120" w:type="dxa"/>
              <w:bottom w:w="90" w:type="dxa"/>
              <w:end w:w="120" w:type="dxa"/>
            </w:tcMar>
          </w:tcPr>
          <w:p>
            <w:r>
              <w:rPr>
                <w:rFonts w:ascii="Yu Gothic" w:hAnsi="Yu Gothic" w:eastAsia="Yu Gothic"/>
                <w:sz w:val="19"/>
              </w:rPr>
              <w:t>公開動画・添付PDF・文字起こしに基づく観測整理</w:t>
            </w:r>
          </w:p>
        </w:tc>
      </w:tr>
      <w:tr>
        <w:trPr>
          <w:cantSplit/>
        </w:trPr>
        <w:tc>
          <w:tcPr>
            <w:tcW w:type="dxa" w:w="1900"/>
            <w:tcMar>
              <w:top w:w="90" w:type="dxa"/>
              <w:start w:w="120" w:type="dxa"/>
              <w:bottom w:w="90" w:type="dxa"/>
              <w:end w:w="120" w:type="dxa"/>
            </w:tcMar>
            <w:shd w:fill="F2F4F7"/>
          </w:tcPr>
          <w:p>
            <w:r>
              <w:rPr>
                <w:rFonts w:ascii="Yu Gothic" w:hAnsi="Yu Gothic" w:eastAsia="Yu Gothic"/>
                <w:b/>
                <w:color w:val="19324A"/>
                <w:sz w:val="19"/>
              </w:rPr>
              <w:t>位置づけ</w:t>
            </w:r>
          </w:p>
        </w:tc>
        <w:tc>
          <w:tcPr>
            <w:tcW w:type="dxa" w:w="7460"/>
            <w:tcMar>
              <w:top w:w="90" w:type="dxa"/>
              <w:start w:w="120" w:type="dxa"/>
              <w:bottom w:w="90" w:type="dxa"/>
              <w:end w:w="120" w:type="dxa"/>
            </w:tcMar>
          </w:tcPr>
          <w:p>
            <w:r>
              <w:rPr>
                <w:rFonts w:ascii="Yu Gothic" w:hAnsi="Yu Gothic" w:eastAsia="Yu Gothic"/>
                <w:sz w:val="19"/>
              </w:rPr>
              <w:t>事実、会社側の目標、観測上の推論を分離した保存版</w:t>
            </w:r>
          </w:p>
        </w:tc>
      </w:tr>
    </w:tbl>
    <w:p>
      <w:pPr>
        <w:spacing w:after="160"/>
      </w:pP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90" w:type="dxa"/>
              <w:start w:w="120" w:type="dxa"/>
              <w:bottom w:w="90" w:type="dxa"/>
              <w:end w:w="120" w:type="dxa"/>
            </w:tcMar>
            <w:shd w:fill="FBECEF"/>
            <w:vAlign w:val="center"/>
          </w:tcPr>
          <w:p>
            <w:pPr>
              <w:spacing w:after="40" w:line="264" w:lineRule="auto"/>
            </w:pPr>
            <w:r>
              <w:rPr>
                <w:rFonts w:ascii="Yu Gothic" w:hAnsi="Yu Gothic" w:eastAsia="Yu Gothic"/>
                <w:b/>
                <w:color w:val="C8102E"/>
                <w:sz w:val="21"/>
              </w:rPr>
              <w:t xml:space="preserve">結論  </w:t>
            </w:r>
            <w:r>
              <w:rPr>
                <w:rFonts w:ascii="Yu Gothic" w:hAnsi="Yu Gothic" w:eastAsia="Yu Gothic"/>
                <w:b w:val="0"/>
                <w:color w:val="111111"/>
                <w:sz w:val="21"/>
              </w:rPr>
              <w:t>今回の2本の動画は、上位の「Gateway設計図」と、その第一号の実行例である「ナティアス投資」として読むと一本につながる。NANOは技術を紹介する仲介者ではなく、資本・開発・会社構造・海外ネットワークを組み合わせ、世界で投資・提携・買収の対象となる資産へ作り替える役割を目指している。</w:t>
            </w:r>
          </w:p>
        </w:tc>
      </w:tr>
    </w:tbl>
    <w:p>
      <w:pPr>
        <w:spacing w:after="20"/>
      </w:pPr>
    </w:p>
    <w:p>
      <w:pPr>
        <w:spacing w:after="100"/>
      </w:pPr>
      <w:r>
        <w:rPr>
          <w:rFonts w:ascii="Yu Gothic" w:hAnsi="Yu Gothic" w:eastAsia="Yu Gothic"/>
          <w:b/>
          <w:i w:val="0"/>
          <w:color w:val="19324A"/>
          <w:sz w:val="22"/>
        </w:rPr>
        <w:t>観測上の核心</w:t>
      </w:r>
    </w:p>
    <w:p>
      <w:pPr>
        <w:spacing w:after="120"/>
      </w:pPr>
      <w:r>
        <w:rPr>
          <w:rFonts w:ascii="Yu Gothic" w:hAnsi="Yu Gothic" w:eastAsia="Yu Gothic"/>
          <w:b w:val="0"/>
          <w:i w:val="0"/>
          <w:color w:val="111111"/>
          <w:sz w:val="22"/>
        </w:rPr>
        <w:t>日本には世界水準の科学がある。しかし、資金、臨床開発、事業開発、海外EXITへの接続が弱い。NANO Gatewayはこの“接続の欠落”を事業機会として捉えている。</w:t>
      </w:r>
    </w:p>
    <w:p>
      <w:r>
        <w:br w:type="page"/>
      </w:r>
    </w:p>
    <w:p>
      <w:pPr>
        <w:pStyle w:val="Heading1"/>
        <w:keepNext/>
      </w:pPr>
      <w:r>
        <w:t>1｜Gateway構想の設計思想</w:t>
      </w:r>
    </w:p>
    <w:p>
      <w:pPr>
        <w:spacing w:after="160"/>
      </w:pPr>
      <w:r>
        <w:rPr>
          <w:rFonts w:ascii="Yu Gothic" w:hAnsi="Yu Gothic" w:eastAsia="Yu Gothic"/>
          <w:b w:val="0"/>
          <w:i w:val="0"/>
        </w:rPr>
        <w:t>対談で示された中心命題は明快である。日本の技術をそのまま海外へ持ち込むのではなく、米国投資家が評価できる形に整え、資金・事業開発・ネットワーク・EXIT機会へ接続する。</w:t>
      </w:r>
    </w:p>
    <w:tbl>
      <w:tblPr>
        <w:tblW w:type="dxa" w:w="9360"/>
        <w:jc w:val="left"/>
        <w:tblLayout w:type="fixed"/>
        <w:tblLook w:firstColumn="1" w:firstRow="1" w:lastColumn="0" w:lastRow="0" w:noHBand="0" w:noVBand="1" w:val="04A0"/>
        <w:tblInd w:w="120" w:type="dxa"/>
      </w:tblPr>
      <w:tblGrid>
        <w:gridCol w:w="2100"/>
        <w:gridCol w:w="3600"/>
        <w:gridCol w:w="3660"/>
      </w:tblGrid>
      <w:tr>
        <w:trPr>
          <w:tblHeader w:val="true"/>
          <w:cantSplit/>
        </w:trPr>
        <w:tc>
          <w:tcPr>
            <w:tcW w:type="dxa" w:w="2100"/>
            <w:tcMar>
              <w:top w:w="90" w:type="dxa"/>
              <w:start w:w="120" w:type="dxa"/>
              <w:bottom w:w="90" w:type="dxa"/>
              <w:end w:w="120" w:type="dxa"/>
            </w:tcMar>
            <w:shd w:fill="19324A"/>
          </w:tcPr>
          <w:p>
            <w:pPr>
              <w:jc w:val="center"/>
            </w:pPr>
            <w:r>
              <w:rPr>
                <w:rFonts w:ascii="Yu Gothic" w:hAnsi="Yu Gothic" w:eastAsia="Yu Gothic"/>
                <w:b/>
                <w:color w:val="FFFFFF"/>
                <w:sz w:val="19"/>
              </w:rPr>
              <w:t>段階</w:t>
            </w:r>
          </w:p>
        </w:tc>
        <w:tc>
          <w:tcPr>
            <w:tcW w:type="dxa" w:w="3600"/>
            <w:tcMar>
              <w:top w:w="90" w:type="dxa"/>
              <w:start w:w="120" w:type="dxa"/>
              <w:bottom w:w="90" w:type="dxa"/>
              <w:end w:w="120" w:type="dxa"/>
            </w:tcMar>
            <w:shd w:fill="19324A"/>
          </w:tcPr>
          <w:p>
            <w:pPr>
              <w:jc w:val="center"/>
            </w:pPr>
            <w:r>
              <w:rPr>
                <w:rFonts w:ascii="Yu Gothic" w:hAnsi="Yu Gothic" w:eastAsia="Yu Gothic"/>
                <w:b/>
                <w:color w:val="FFFFFF"/>
                <w:sz w:val="19"/>
              </w:rPr>
              <w:t>NANOが担う仕事</w:t>
            </w:r>
          </w:p>
        </w:tc>
        <w:tc>
          <w:tcPr>
            <w:tcW w:type="dxa" w:w="3660"/>
            <w:tcMar>
              <w:top w:w="90" w:type="dxa"/>
              <w:start w:w="120" w:type="dxa"/>
              <w:bottom w:w="90" w:type="dxa"/>
              <w:end w:w="120" w:type="dxa"/>
            </w:tcMar>
            <w:shd w:fill="19324A"/>
          </w:tcPr>
          <w:p>
            <w:pPr>
              <w:jc w:val="center"/>
            </w:pPr>
            <w:r>
              <w:rPr>
                <w:rFonts w:ascii="Yu Gothic" w:hAnsi="Yu Gothic" w:eastAsia="Yu Gothic"/>
                <w:b/>
                <w:color w:val="FFFFFF"/>
                <w:sz w:val="19"/>
              </w:rPr>
              <w:t>価値が生まれる理由</w:t>
            </w:r>
          </w:p>
        </w:tc>
      </w:tr>
      <w:tr>
        <w:trPr>
          <w:cantSplit/>
        </w:trPr>
        <w:tc>
          <w:tcPr>
            <w:tcW w:type="dxa" w:w="2100"/>
          </w:tcPr>
          <w:p>
            <w:r>
              <w:rPr>
                <w:rFonts w:ascii="Yu Gothic" w:hAnsi="Yu Gothic" w:eastAsia="Yu Gothic"/>
                <w:b/>
                <w:color w:val="19324A"/>
                <w:sz w:val="18"/>
              </w:rPr>
              <w:t>Sourcing（発掘）</w:t>
            </w:r>
          </w:p>
        </w:tc>
        <w:tc>
          <w:tcPr>
            <w:tcW w:type="dxa" w:w="3600"/>
          </w:tcPr>
          <w:p>
            <w:r>
              <w:rPr>
                <w:rFonts w:ascii="Yu Gothic" w:hAnsi="Yu Gothic" w:eastAsia="Yu Gothic"/>
                <w:b w:val="0"/>
                <w:color w:val="111111"/>
                <w:sz w:val="18"/>
              </w:rPr>
              <w:t>日本の大学、企業、カーブアウト候補から技術・開発品を見つける</w:t>
            </w:r>
          </w:p>
        </w:tc>
        <w:tc>
          <w:tcPr>
            <w:tcW w:type="dxa" w:w="3660"/>
          </w:tcPr>
          <w:p>
            <w:r>
              <w:rPr>
                <w:rFonts w:ascii="Yu Gothic" w:hAnsi="Yu Gothic" w:eastAsia="Yu Gothic"/>
                <w:b w:val="0"/>
                <w:color w:val="111111"/>
                <w:sz w:val="18"/>
              </w:rPr>
              <w:t>埋もれていた科学を投資候補へ乗せる</w:t>
            </w:r>
          </w:p>
        </w:tc>
      </w:tr>
      <w:tr>
        <w:trPr>
          <w:cantSplit/>
        </w:trPr>
        <w:tc>
          <w:tcPr>
            <w:tcW w:type="dxa" w:w="2100"/>
            <w:shd w:fill="F2F4F7"/>
          </w:tcPr>
          <w:p>
            <w:r>
              <w:rPr>
                <w:rFonts w:ascii="Yu Gothic" w:hAnsi="Yu Gothic" w:eastAsia="Yu Gothic"/>
                <w:b/>
                <w:color w:val="19324A"/>
                <w:sz w:val="18"/>
              </w:rPr>
              <w:t>Capital（資本）</w:t>
            </w:r>
          </w:p>
        </w:tc>
        <w:tc>
          <w:tcPr>
            <w:tcW w:type="dxa" w:w="3600"/>
            <w:shd w:fill="F2F4F7"/>
          </w:tcPr>
          <w:p>
            <w:r>
              <w:rPr>
                <w:rFonts w:ascii="Yu Gothic" w:hAnsi="Yu Gothic" w:eastAsia="Yu Gothic"/>
                <w:b w:val="0"/>
                <w:color w:val="111111"/>
                <w:sz w:val="18"/>
              </w:rPr>
              <w:t>AMED等の公的資金、国内外VC、製薬企業の資本を組み合わせる</w:t>
            </w:r>
          </w:p>
        </w:tc>
        <w:tc>
          <w:tcPr>
            <w:tcW w:type="dxa" w:w="3660"/>
            <w:shd w:fill="F2F4F7"/>
          </w:tcPr>
          <w:p>
            <w:r>
              <w:rPr>
                <w:rFonts w:ascii="Yu Gothic" w:hAnsi="Yu Gothic" w:eastAsia="Yu Gothic"/>
                <w:b w:val="0"/>
                <w:color w:val="111111"/>
                <w:sz w:val="18"/>
              </w:rPr>
              <w:t>臨床データ取得までの資金不足を埋める</w:t>
            </w:r>
          </w:p>
        </w:tc>
      </w:tr>
      <w:tr>
        <w:trPr>
          <w:cantSplit/>
        </w:trPr>
        <w:tc>
          <w:tcPr>
            <w:tcW w:type="dxa" w:w="2100"/>
          </w:tcPr>
          <w:p>
            <w:r>
              <w:rPr>
                <w:rFonts w:ascii="Yu Gothic" w:hAnsi="Yu Gothic" w:eastAsia="Yu Gothic"/>
                <w:b/>
                <w:color w:val="19324A"/>
                <w:sz w:val="18"/>
              </w:rPr>
              <w:t>Value Creation（磨き上げ）</w:t>
            </w:r>
          </w:p>
        </w:tc>
        <w:tc>
          <w:tcPr>
            <w:tcW w:type="dxa" w:w="3600"/>
          </w:tcPr>
          <w:p>
            <w:r>
              <w:rPr>
                <w:rFonts w:ascii="Yu Gothic" w:hAnsi="Yu Gothic" w:eastAsia="Yu Gothic"/>
                <w:b w:val="0"/>
                <w:color w:val="111111"/>
                <w:sz w:val="18"/>
              </w:rPr>
              <w:t>特許、開発計画、NewCo、米国子会社、経営体制を再設計する</w:t>
            </w:r>
          </w:p>
        </w:tc>
        <w:tc>
          <w:tcPr>
            <w:tcW w:type="dxa" w:w="3660"/>
          </w:tcPr>
          <w:p>
            <w:r>
              <w:rPr>
                <w:rFonts w:ascii="Yu Gothic" w:hAnsi="Yu Gothic" w:eastAsia="Yu Gothic"/>
                <w:b w:val="0"/>
                <w:color w:val="111111"/>
                <w:sz w:val="18"/>
              </w:rPr>
              <w:t>投資家・買収者が評価できる事業構造に変える</w:t>
            </w:r>
          </w:p>
        </w:tc>
      </w:tr>
      <w:tr>
        <w:trPr>
          <w:cantSplit/>
        </w:trPr>
        <w:tc>
          <w:tcPr>
            <w:tcW w:type="dxa" w:w="2100"/>
            <w:shd w:fill="F2F4F7"/>
          </w:tcPr>
          <w:p>
            <w:r>
              <w:rPr>
                <w:rFonts w:ascii="Yu Gothic" w:hAnsi="Yu Gothic" w:eastAsia="Yu Gothic"/>
                <w:b/>
                <w:color w:val="19324A"/>
                <w:sz w:val="18"/>
              </w:rPr>
              <w:t>Exit（出口）</w:t>
            </w:r>
          </w:p>
        </w:tc>
        <w:tc>
          <w:tcPr>
            <w:tcW w:type="dxa" w:w="3600"/>
            <w:shd w:fill="F2F4F7"/>
          </w:tcPr>
          <w:p>
            <w:r>
              <w:rPr>
                <w:rFonts w:ascii="Yu Gothic" w:hAnsi="Yu Gothic" w:eastAsia="Yu Gothic"/>
                <w:b w:val="0"/>
                <w:color w:val="111111"/>
                <w:sz w:val="18"/>
              </w:rPr>
              <w:t>IPO、M&amp;A、製薬企業との提携・ライセンスを設計する</w:t>
            </w:r>
          </w:p>
        </w:tc>
        <w:tc>
          <w:tcPr>
            <w:tcW w:type="dxa" w:w="3660"/>
            <w:shd w:fill="F2F4F7"/>
          </w:tcPr>
          <w:p>
            <w:r>
              <w:rPr>
                <w:rFonts w:ascii="Yu Gothic" w:hAnsi="Yu Gothic" w:eastAsia="Yu Gothic"/>
                <w:b w:val="0"/>
                <w:color w:val="111111"/>
                <w:sz w:val="18"/>
              </w:rPr>
              <w:t>技術価値を株主価値・ファンド収益へ転換する</w:t>
            </w:r>
          </w:p>
        </w:tc>
      </w:tr>
    </w:tbl>
    <w:p>
      <w:pPr>
        <w:pStyle w:val="Heading2"/>
        <w:keepNext/>
      </w:pPr>
      <w:r>
        <w:t>米国投資家から見た日本</w:t>
      </w:r>
    </w:p>
    <w:p>
      <w:pPr>
        <w:spacing w:after="120"/>
      </w:pPr>
      <w:r>
        <w:rPr>
          <w:rFonts w:ascii="Yu Gothic" w:hAnsi="Yu Gothic" w:eastAsia="Yu Gothic"/>
          <w:b w:val="0"/>
          <w:i w:val="0"/>
        </w:rPr>
        <w:t>Gibson氏は、日本の科学力そのものを高く評価する一方、米国との最大の差を資金量と事業化の接続に見ている。米国の製薬企業は特許切れや自社研究開発の不足を補うため、世界中から質の高い技術・臨床データを探している。日本は候補地になり得るが、投資家が案件を発見し、評価し、資金を入れるための橋が不足しているという認識である。</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90" w:type="dxa"/>
              <w:start w:w="120" w:type="dxa"/>
              <w:bottom w:w="90" w:type="dxa"/>
              <w:end w:w="120" w:type="dxa"/>
            </w:tcMar>
            <w:shd w:fill="EAF1F8"/>
            <w:vAlign w:val="center"/>
          </w:tcPr>
          <w:p>
            <w:pPr>
              <w:spacing w:after="40" w:line="264" w:lineRule="auto"/>
            </w:pPr>
            <w:r>
              <w:rPr>
                <w:rFonts w:ascii="Yu Gothic" w:hAnsi="Yu Gothic" w:eastAsia="Yu Gothic"/>
                <w:b/>
                <w:color w:val="2E74B5"/>
                <w:sz w:val="21"/>
              </w:rPr>
              <w:t xml:space="preserve">重要発言  </w:t>
            </w:r>
            <w:r>
              <w:rPr>
                <w:rFonts w:ascii="Yu Gothic" w:hAnsi="Yu Gothic" w:eastAsia="Yu Gothic"/>
                <w:b w:val="0"/>
                <w:color w:val="111111"/>
                <w:sz w:val="21"/>
              </w:rPr>
              <w:t>NANO側は、約20社の有力な米国投資家と積極的に協議していると説明。Gibson氏も、紹介案件に対する米国投資家の反応率が通常より高いとの感触を述べた。</w:t>
            </w:r>
          </w:p>
        </w:tc>
      </w:tr>
    </w:tbl>
    <w:p>
      <w:pPr>
        <w:spacing w:after="20"/>
      </w:pP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90" w:type="dxa"/>
              <w:start w:w="120" w:type="dxa"/>
              <w:bottom w:w="90" w:type="dxa"/>
              <w:end w:w="120" w:type="dxa"/>
            </w:tcMar>
            <w:shd w:fill="FFF4D6"/>
            <w:vAlign w:val="center"/>
          </w:tcPr>
          <w:p>
            <w:pPr>
              <w:spacing w:after="40" w:line="264" w:lineRule="auto"/>
            </w:pPr>
            <w:r>
              <w:rPr>
                <w:rFonts w:ascii="Yu Gothic" w:hAnsi="Yu Gothic" w:eastAsia="Yu Gothic"/>
                <w:b/>
                <w:color w:val="8A6500"/>
                <w:sz w:val="21"/>
              </w:rPr>
              <w:t xml:space="preserve">解釈上の注意  </w:t>
            </w:r>
            <w:r>
              <w:rPr>
                <w:rFonts w:ascii="Yu Gothic" w:hAnsi="Yu Gothic" w:eastAsia="Yu Gothic"/>
                <w:b w:val="0"/>
                <w:color w:val="111111"/>
                <w:sz w:val="21"/>
              </w:rPr>
              <w:t>「協議中」「反応率が高い」は、出資契約や共同投資の成立を意味しない。今後は社名、契約形態、金額、投資先が適時開示で確認できるかが焦点となる。</w:t>
            </w:r>
          </w:p>
        </w:tc>
      </w:tr>
    </w:tbl>
    <w:p>
      <w:pPr>
        <w:spacing w:after="20"/>
      </w:pPr>
    </w:p>
    <w:p>
      <w:r>
        <w:br w:type="page"/>
      </w:r>
    </w:p>
    <w:p>
      <w:pPr>
        <w:pStyle w:val="Heading1"/>
        <w:keepNext/>
      </w:pPr>
      <w:r>
        <w:t>2｜Gibson氏が示した“世界で薬にする条件”</w:t>
      </w:r>
    </w:p>
    <w:p>
      <w:pPr>
        <w:spacing w:after="120"/>
      </w:pPr>
      <w:r>
        <w:rPr>
          <w:rFonts w:ascii="Yu Gothic" w:hAnsi="Yu Gothic" w:eastAsia="Yu Gothic"/>
          <w:b w:val="0"/>
          <w:i w:val="0"/>
        </w:rPr>
        <w:t>Gibson氏の価値は、海外の著名人という看板ではなく、科学を承認薬・投資案件・商業資産へ変換してきた実務経験にある。対談ではTemodar、Nexavar、Tarceva、Xalkoriの開発経験を例に、成功の共通項を説明した。</w:t>
      </w:r>
    </w:p>
    <w:p>
      <w:pPr>
        <w:pStyle w:val="Heading2"/>
        <w:keepNext/>
      </w:pPr>
      <w:r>
        <w:t>常識を疑う</w:t>
      </w:r>
    </w:p>
    <w:p>
      <w:pPr>
        <w:spacing w:after="100"/>
      </w:pPr>
      <w:r>
        <w:rPr>
          <w:rFonts w:ascii="Yu Gothic" w:hAnsi="Yu Gothic" w:eastAsia="Yu Gothic"/>
          <w:b w:val="0"/>
          <w:i w:val="0"/>
        </w:rPr>
        <w:t>既存の評価基準で弱く見える結果でも、薬の本質的な価値を別の指標や患者群から検証する。</w:t>
      </w:r>
    </w:p>
    <w:p>
      <w:pPr>
        <w:pStyle w:val="Heading2"/>
        <w:keepNext/>
      </w:pPr>
      <w:r>
        <w:t>正しい薬を、正しい患者へ</w:t>
      </w:r>
    </w:p>
    <w:p>
      <w:pPr>
        <w:spacing w:after="100"/>
      </w:pPr>
      <w:r>
        <w:rPr>
          <w:rFonts w:ascii="Yu Gothic" w:hAnsi="Yu Gothic" w:eastAsia="Yu Gothic"/>
          <w:b w:val="0"/>
          <w:i w:val="0"/>
        </w:rPr>
        <w:t>全患者で平均化せず、遺伝子変異などから本当に反応する患者群を特定する。</w:t>
      </w:r>
    </w:p>
    <w:p>
      <w:pPr>
        <w:pStyle w:val="Heading2"/>
        <w:keepNext/>
      </w:pPr>
      <w:r>
        <w:t>強い特許網をつくる</w:t>
      </w:r>
    </w:p>
    <w:p>
      <w:pPr>
        <w:spacing w:after="100"/>
      </w:pPr>
      <w:r>
        <w:rPr>
          <w:rFonts w:ascii="Yu Gothic" w:hAnsi="Yu Gothic" w:eastAsia="Yu Gothic"/>
          <w:b w:val="0"/>
          <w:i w:val="0"/>
        </w:rPr>
        <w:t>技術や開発品の周囲に十分な特許ポジションを構築し、投資家・買収者が価値を確保できる状態にする。</w:t>
      </w:r>
    </w:p>
    <w:p>
      <w:pPr>
        <w:pStyle w:val="Heading2"/>
        <w:keepNext/>
      </w:pPr>
      <w:r>
        <w:t>初期臨床データでリスクを下げる</w:t>
      </w:r>
    </w:p>
    <w:p>
      <w:pPr>
        <w:spacing w:after="100"/>
      </w:pPr>
      <w:r>
        <w:rPr>
          <w:rFonts w:ascii="Yu Gothic" w:hAnsi="Yu Gothic" w:eastAsia="Yu Gothic"/>
          <w:b w:val="0"/>
          <w:i w:val="0"/>
        </w:rPr>
        <w:t>大型VCは“見せてほしい”型の投資姿勢を取りやすく、初期の臨床概念実証が大きな資金を呼ぶ。</w:t>
      </w:r>
    </w:p>
    <w:p>
      <w:pPr>
        <w:pStyle w:val="Heading2"/>
        <w:keepNext/>
      </w:pPr>
      <w:r>
        <w:t>市場の大きさより資産の質</w:t>
      </w:r>
    </w:p>
    <w:p>
      <w:pPr>
        <w:spacing w:after="100"/>
      </w:pPr>
      <w:r>
        <w:rPr>
          <w:rFonts w:ascii="Yu Gothic" w:hAnsi="Yu Gothic" w:eastAsia="Yu Gothic"/>
          <w:b w:val="0"/>
          <w:i w:val="0"/>
        </w:rPr>
        <w:t>患者数が小さくても、明確に効く薬と強い知財があれば十分な投資収益を生み得る。</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90" w:type="dxa"/>
              <w:start w:w="120" w:type="dxa"/>
              <w:bottom w:w="90" w:type="dxa"/>
              <w:end w:w="120" w:type="dxa"/>
            </w:tcMar>
            <w:shd w:fill="FBECEF"/>
            <w:vAlign w:val="center"/>
          </w:tcPr>
          <w:p>
            <w:pPr>
              <w:spacing w:after="40" w:line="264" w:lineRule="auto"/>
            </w:pPr>
            <w:r>
              <w:rPr>
                <w:rFonts w:ascii="Yu Gothic" w:hAnsi="Yu Gothic" w:eastAsia="Yu Gothic"/>
                <w:b/>
                <w:color w:val="C8102E"/>
                <w:sz w:val="21"/>
              </w:rPr>
              <w:t xml:space="preserve">Xalkoriの教訓  </w:t>
            </w:r>
            <w:r>
              <w:rPr>
                <w:rFonts w:ascii="Yu Gothic" w:hAnsi="Yu Gothic" w:eastAsia="Yu Gothic"/>
                <w:b w:val="0"/>
                <w:color w:val="111111"/>
                <w:sz w:val="21"/>
              </w:rPr>
              <w:t>Phase 1では22人中3人の反応だったが、その3人がEML4-ALK融合遺伝子を持つ患者だと判明。対象患者を絞った後続試験では約70％超が反応し、Phase 1データを基盤とするFDA承認につながったと説明された。</w:t>
            </w:r>
          </w:p>
        </w:tc>
      </w:tr>
    </w:tbl>
    <w:p>
      <w:pPr>
        <w:spacing w:after="20"/>
      </w:pPr>
    </w:p>
    <w:p>
      <w:pPr>
        <w:spacing w:after="120"/>
      </w:pPr>
      <w:r>
        <w:rPr>
          <w:rFonts w:ascii="Yu Gothic" w:hAnsi="Yu Gothic" w:eastAsia="Yu Gothic"/>
          <w:b/>
          <w:i w:val="0"/>
          <w:color w:val="19324A"/>
          <w:sz w:val="21"/>
        </w:rPr>
        <w:t>この経験は、平均値では弱く見える日本の開発品から、反応する患者群と最適な臨床設計を見つけ直すNANOの投資戦略と親和性が高い。</w:t>
      </w:r>
    </w:p>
    <w:p>
      <w:r>
        <w:br w:type="page"/>
      </w:r>
    </w:p>
    <w:p>
      <w:pPr>
        <w:pStyle w:val="Heading1"/>
        <w:keepNext/>
      </w:pPr>
      <w:r>
        <w:t>3｜NewCo・米国子会社という“器の作り替え”</w:t>
      </w:r>
    </w:p>
    <w:p>
      <w:pPr>
        <w:spacing w:after="120"/>
      </w:pPr>
      <w:r>
        <w:rPr>
          <w:rFonts w:ascii="Yu Gothic" w:hAnsi="Yu Gothic" w:eastAsia="Yu Gothic"/>
          <w:b w:val="0"/>
          <w:i w:val="0"/>
        </w:rPr>
        <w:t>対談の24分台では、Gatewayが単なる案件紹介ではないことが明確になる。技術や開発品を既存企業から切り出し、NewCoまたは米国子会社を設け、海外資金を受け入れやすい器へ再構築する案が示された。</w:t>
      </w:r>
    </w:p>
    <w:tbl>
      <w:tblPr>
        <w:tblW w:type="dxa" w:w="9360"/>
        <w:jc w:val="left"/>
        <w:tblLayout w:type="fixed"/>
        <w:tblLook w:firstColumn="1" w:firstRow="1" w:lastColumn="0" w:lastRow="0" w:noHBand="0" w:noVBand="1" w:val="04A0"/>
        <w:tblInd w:w="120" w:type="dxa"/>
      </w:tblPr>
      <w:tblGrid>
        <w:gridCol w:w="2600"/>
        <w:gridCol w:w="6760"/>
      </w:tblGrid>
      <w:tr>
        <w:trPr>
          <w:tblHeader w:val="true"/>
          <w:cantSplit/>
        </w:trPr>
        <w:tc>
          <w:tcPr>
            <w:tcW w:type="dxa" w:w="2600"/>
            <w:tcMar>
              <w:top w:w="90" w:type="dxa"/>
              <w:start w:w="120" w:type="dxa"/>
              <w:bottom w:w="90" w:type="dxa"/>
              <w:end w:w="120" w:type="dxa"/>
            </w:tcMar>
            <w:shd w:fill="19324A"/>
          </w:tcPr>
          <w:p>
            <w:r>
              <w:rPr>
                <w:rFonts w:ascii="Yu Gothic" w:hAnsi="Yu Gothic" w:eastAsia="Yu Gothic"/>
                <w:b/>
                <w:color w:val="FFFFFF"/>
                <w:sz w:val="19"/>
              </w:rPr>
              <w:t>再構築項目</w:t>
            </w:r>
          </w:p>
        </w:tc>
        <w:tc>
          <w:tcPr>
            <w:tcW w:type="dxa" w:w="6760"/>
            <w:tcMar>
              <w:top w:w="90" w:type="dxa"/>
              <w:start w:w="120" w:type="dxa"/>
              <w:bottom w:w="90" w:type="dxa"/>
              <w:end w:w="120" w:type="dxa"/>
            </w:tcMar>
            <w:shd w:fill="19324A"/>
          </w:tcPr>
          <w:p>
            <w:r>
              <w:rPr>
                <w:rFonts w:ascii="Yu Gothic" w:hAnsi="Yu Gothic" w:eastAsia="Yu Gothic"/>
                <w:b/>
                <w:color w:val="FFFFFF"/>
                <w:sz w:val="19"/>
              </w:rPr>
              <w:t>狙い</w:t>
            </w:r>
          </w:p>
        </w:tc>
      </w:tr>
      <w:tr>
        <w:trPr>
          <w:cantSplit/>
        </w:trPr>
        <w:tc>
          <w:tcPr>
            <w:tcW w:type="dxa" w:w="2600"/>
          </w:tcPr>
          <w:p>
            <w:r>
              <w:rPr>
                <w:rFonts w:ascii="Yu Gothic" w:hAnsi="Yu Gothic" w:eastAsia="Yu Gothic"/>
                <w:b/>
                <w:color w:val="19324A"/>
                <w:sz w:val="18"/>
              </w:rPr>
              <w:t>NewCoへの切り出し</w:t>
            </w:r>
          </w:p>
        </w:tc>
        <w:tc>
          <w:tcPr>
            <w:tcW w:type="dxa" w:w="6760"/>
          </w:tcPr>
          <w:p>
            <w:r>
              <w:rPr>
                <w:rFonts w:ascii="Yu Gothic" w:hAnsi="Yu Gothic" w:eastAsia="Yu Gothic"/>
                <w:b w:val="0"/>
                <w:color w:val="111111"/>
                <w:sz w:val="18"/>
              </w:rPr>
              <w:t>既存企業の複雑な事業・負債・意思決定から技術を分離し、投資対象を明確化</w:t>
            </w:r>
          </w:p>
        </w:tc>
      </w:tr>
      <w:tr>
        <w:trPr>
          <w:cantSplit/>
        </w:trPr>
        <w:tc>
          <w:tcPr>
            <w:tcW w:type="dxa" w:w="2600"/>
            <w:shd w:fill="F2F4F7"/>
          </w:tcPr>
          <w:p>
            <w:r>
              <w:rPr>
                <w:rFonts w:ascii="Yu Gothic" w:hAnsi="Yu Gothic" w:eastAsia="Yu Gothic"/>
                <w:b/>
                <w:color w:val="19324A"/>
                <w:sz w:val="18"/>
              </w:rPr>
              <w:t>米国子会社の設立</w:t>
            </w:r>
          </w:p>
        </w:tc>
        <w:tc>
          <w:tcPr>
            <w:tcW w:type="dxa" w:w="6760"/>
            <w:shd w:fill="F2F4F7"/>
          </w:tcPr>
          <w:p>
            <w:r>
              <w:rPr>
                <w:rFonts w:ascii="Yu Gothic" w:hAnsi="Yu Gothic" w:eastAsia="Yu Gothic"/>
                <w:b w:val="0"/>
                <w:color w:val="111111"/>
                <w:sz w:val="18"/>
              </w:rPr>
              <w:t>米国VCや製薬企業が投資・提携しやすい契約とガバナンスの器を用意</w:t>
            </w:r>
          </w:p>
        </w:tc>
      </w:tr>
      <w:tr>
        <w:trPr>
          <w:cantSplit/>
        </w:trPr>
        <w:tc>
          <w:tcPr>
            <w:tcW w:type="dxa" w:w="2600"/>
          </w:tcPr>
          <w:p>
            <w:r>
              <w:rPr>
                <w:rFonts w:ascii="Yu Gothic" w:hAnsi="Yu Gothic" w:eastAsia="Yu Gothic"/>
                <w:b/>
                <w:color w:val="19324A"/>
                <w:sz w:val="18"/>
              </w:rPr>
              <w:t>AMED資金の活用</w:t>
            </w:r>
          </w:p>
        </w:tc>
        <w:tc>
          <w:tcPr>
            <w:tcW w:type="dxa" w:w="6760"/>
          </w:tcPr>
          <w:p>
            <w:r>
              <w:rPr>
                <w:rFonts w:ascii="Yu Gothic" w:hAnsi="Yu Gothic" w:eastAsia="Yu Gothic"/>
                <w:b w:val="0"/>
                <w:color w:val="111111"/>
                <w:sz w:val="18"/>
              </w:rPr>
              <w:t>公的資金で非臨床・初期臨床のリスクを下げ、民間資金の呼び水とする</w:t>
            </w:r>
          </w:p>
        </w:tc>
      </w:tr>
      <w:tr>
        <w:trPr>
          <w:cantSplit/>
        </w:trPr>
        <w:tc>
          <w:tcPr>
            <w:tcW w:type="dxa" w:w="2600"/>
            <w:shd w:fill="F2F4F7"/>
          </w:tcPr>
          <w:p>
            <w:r>
              <w:rPr>
                <w:rFonts w:ascii="Yu Gothic" w:hAnsi="Yu Gothic" w:eastAsia="Yu Gothic"/>
                <w:b/>
                <w:color w:val="19324A"/>
                <w:sz w:val="18"/>
              </w:rPr>
              <w:t>追加臨床試験</w:t>
            </w:r>
          </w:p>
        </w:tc>
        <w:tc>
          <w:tcPr>
            <w:tcW w:type="dxa" w:w="6760"/>
            <w:shd w:fill="F2F4F7"/>
          </w:tcPr>
          <w:p>
            <w:r>
              <w:rPr>
                <w:rFonts w:ascii="Yu Gothic" w:hAnsi="Yu Gothic" w:eastAsia="Yu Gothic"/>
                <w:b w:val="0"/>
                <w:color w:val="111111"/>
                <w:sz w:val="18"/>
              </w:rPr>
              <w:t>対象患者を絞り、買収候補として必要なデータセットを資本効率よく取得</w:t>
            </w:r>
          </w:p>
        </w:tc>
      </w:tr>
      <w:tr>
        <w:trPr>
          <w:cantSplit/>
        </w:trPr>
        <w:tc>
          <w:tcPr>
            <w:tcW w:type="dxa" w:w="2600"/>
          </w:tcPr>
          <w:p>
            <w:r>
              <w:rPr>
                <w:rFonts w:ascii="Yu Gothic" w:hAnsi="Yu Gothic" w:eastAsia="Yu Gothic"/>
                <w:b/>
                <w:color w:val="19324A"/>
                <w:sz w:val="18"/>
              </w:rPr>
              <w:t>海外EXIT設計</w:t>
            </w:r>
          </w:p>
        </w:tc>
        <w:tc>
          <w:tcPr>
            <w:tcW w:type="dxa" w:w="6760"/>
          </w:tcPr>
          <w:p>
            <w:r>
              <w:rPr>
                <w:rFonts w:ascii="Yu Gothic" w:hAnsi="Yu Gothic" w:eastAsia="Yu Gothic"/>
                <w:b w:val="0"/>
                <w:color w:val="111111"/>
                <w:sz w:val="18"/>
              </w:rPr>
              <w:t>IPO、M&amp;A、ライセンス契約を通じて資産価値を顕在化</w:t>
            </w:r>
          </w:p>
        </w:tc>
      </w:tr>
    </w:tbl>
    <w:p>
      <w:pPr>
        <w:pStyle w:val="Heading2"/>
        <w:keepNext/>
      </w:pPr>
      <w:r>
        <w:t>NANOの収益機会</w:t>
      </w:r>
    </w:p>
    <w:p>
      <w:pPr>
        <w:spacing w:after="120"/>
      </w:pPr>
      <w:r>
        <w:rPr>
          <w:rFonts w:ascii="Yu Gothic" w:hAnsi="Yu Gothic" w:eastAsia="Yu Gothic"/>
          <w:b w:val="0"/>
          <w:i w:val="0"/>
        </w:rPr>
        <w:t>このモデルで想定される価値の源泉は、投資持分の売却益だけではない。ファンド運営報酬、成功報酬、ライセンス収入、保有株式の値上がり、共同事業収益など複数の可能性がある。ただし、実際の収益配分は各ファンド・案件の契約条件によるため、開示前に断定してはならない。</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90" w:type="dxa"/>
              <w:start w:w="120" w:type="dxa"/>
              <w:bottom w:w="90" w:type="dxa"/>
              <w:end w:w="120" w:type="dxa"/>
            </w:tcMar>
            <w:shd w:fill="FBECEF"/>
            <w:vAlign w:val="center"/>
          </w:tcPr>
          <w:p>
            <w:pPr>
              <w:spacing w:after="40" w:line="264" w:lineRule="auto"/>
            </w:pPr>
            <w:r>
              <w:rPr>
                <w:rFonts w:ascii="Yu Gothic" w:hAnsi="Yu Gothic" w:eastAsia="Yu Gothic"/>
                <w:b/>
                <w:color w:val="C8102E"/>
                <w:sz w:val="21"/>
              </w:rPr>
              <w:t xml:space="preserve">本質  </w:t>
            </w:r>
            <w:r>
              <w:rPr>
                <w:rFonts w:ascii="Yu Gothic" w:hAnsi="Yu Gothic" w:eastAsia="Yu Gothic"/>
                <w:b w:val="0"/>
                <w:color w:val="111111"/>
                <w:sz w:val="21"/>
              </w:rPr>
              <w:t>NANOが販売しているのは“技術の紹介”ではなく、発掘した科学を世界の資本市場で評価可能な資産へ変える編集・接続能力である。</w:t>
            </w:r>
          </w:p>
        </w:tc>
      </w:tr>
    </w:tbl>
    <w:p>
      <w:pPr>
        <w:spacing w:after="20"/>
      </w:pPr>
    </w:p>
    <w:p>
      <w:r>
        <w:br w:type="page"/>
      </w:r>
    </w:p>
    <w:p>
      <w:pPr>
        <w:pStyle w:val="Heading1"/>
        <w:keepNext/>
      </w:pPr>
      <w:r>
        <w:t>4｜ナティアス投資はGatewayの実行第一号</w:t>
      </w:r>
    </w:p>
    <w:p>
      <w:pPr>
        <w:spacing w:after="120"/>
      </w:pPr>
      <w:r>
        <w:rPr>
          <w:rFonts w:ascii="Yu Gothic" w:hAnsi="Yu Gothic" w:eastAsia="Yu Gothic"/>
          <w:b w:val="0"/>
          <w:i w:val="0"/>
        </w:rPr>
        <w:t>Gateway対談が全体の設計図なら、ナティアス動画は第一号案件の実装説明である。両資料の対応関係は次のように整理できる。</w:t>
      </w:r>
    </w:p>
    <w:tbl>
      <w:tblPr>
        <w:tblW w:type="dxa" w:w="9360"/>
        <w:jc w:val="left"/>
        <w:tblLayout w:type="fixed"/>
        <w:tblLook w:firstColumn="1" w:firstRow="1" w:lastColumn="0" w:lastRow="0" w:noHBand="0" w:noVBand="1" w:val="04A0"/>
        <w:tblInd w:w="120" w:type="dxa"/>
      </w:tblPr>
      <w:tblGrid>
        <w:gridCol w:w="4400"/>
        <w:gridCol w:w="4960"/>
      </w:tblGrid>
      <w:tr>
        <w:trPr>
          <w:tblHeader w:val="true"/>
          <w:cantSplit/>
        </w:trPr>
        <w:tc>
          <w:tcPr>
            <w:tcW w:type="dxa" w:w="4400"/>
            <w:tcMar>
              <w:top w:w="90" w:type="dxa"/>
              <w:start w:w="120" w:type="dxa"/>
              <w:bottom w:w="90" w:type="dxa"/>
              <w:end w:w="120" w:type="dxa"/>
            </w:tcMar>
            <w:shd w:fill="19324A"/>
          </w:tcPr>
          <w:p>
            <w:pPr>
              <w:jc w:val="center"/>
            </w:pPr>
            <w:r>
              <w:rPr>
                <w:rFonts w:ascii="Yu Gothic" w:hAnsi="Yu Gothic" w:eastAsia="Yu Gothic"/>
                <w:b/>
                <w:color w:val="FFFFFF"/>
                <w:sz w:val="19"/>
              </w:rPr>
              <w:t>Gatewayの設計思想</w:t>
            </w:r>
          </w:p>
        </w:tc>
        <w:tc>
          <w:tcPr>
            <w:tcW w:type="dxa" w:w="4960"/>
            <w:tcMar>
              <w:top w:w="90" w:type="dxa"/>
              <w:start w:w="120" w:type="dxa"/>
              <w:bottom w:w="90" w:type="dxa"/>
              <w:end w:w="120" w:type="dxa"/>
            </w:tcMar>
            <w:shd w:fill="C8102E"/>
          </w:tcPr>
          <w:p>
            <w:pPr>
              <w:jc w:val="center"/>
            </w:pPr>
            <w:r>
              <w:rPr>
                <w:rFonts w:ascii="Yu Gothic" w:hAnsi="Yu Gothic" w:eastAsia="Yu Gothic"/>
                <w:b/>
                <w:color w:val="FFFFFF"/>
                <w:sz w:val="19"/>
              </w:rPr>
              <w:t>ナティアスでの実行</w:t>
            </w:r>
          </w:p>
        </w:tc>
      </w:tr>
      <w:tr>
        <w:trPr>
          <w:cantSplit/>
        </w:trPr>
        <w:tc>
          <w:tcPr>
            <w:tcW w:type="dxa" w:w="4400"/>
          </w:tcPr>
          <w:p>
            <w:r>
              <w:rPr>
                <w:rFonts w:ascii="Yu Gothic" w:hAnsi="Yu Gothic" w:eastAsia="Yu Gothic"/>
                <w:b/>
                <w:color w:val="19324A"/>
                <w:sz w:val="18"/>
              </w:rPr>
              <w:t>世界水準の日本技術を発掘</w:t>
            </w:r>
          </w:p>
        </w:tc>
        <w:tc>
          <w:tcPr>
            <w:tcW w:type="dxa" w:w="4960"/>
          </w:tcPr>
          <w:p>
            <w:r>
              <w:rPr>
                <w:rFonts w:ascii="Yu Gothic" w:hAnsi="Yu Gothic" w:eastAsia="Yu Gothic"/>
                <w:b w:val="0"/>
                <w:color w:val="111111"/>
                <w:sz w:val="18"/>
              </w:rPr>
              <w:t>長鎖核酸合成技術Blockmer®を選定</w:t>
            </w:r>
          </w:p>
        </w:tc>
      </w:tr>
      <w:tr>
        <w:trPr>
          <w:cantSplit/>
        </w:trPr>
        <w:tc>
          <w:tcPr>
            <w:tcW w:type="dxa" w:w="4400"/>
            <w:shd w:fill="F2F4F7"/>
          </w:tcPr>
          <w:p>
            <w:r>
              <w:rPr>
                <w:rFonts w:ascii="Yu Gothic" w:hAnsi="Yu Gothic" w:eastAsia="Yu Gothic"/>
                <w:b/>
                <w:color w:val="19324A"/>
                <w:sz w:val="18"/>
              </w:rPr>
              <w:t>強い知財を重視</w:t>
            </w:r>
          </w:p>
        </w:tc>
        <w:tc>
          <w:tcPr>
            <w:tcW w:type="dxa" w:w="4960"/>
            <w:shd w:fill="F2F4F7"/>
          </w:tcPr>
          <w:p>
            <w:r>
              <w:rPr>
                <w:rFonts w:ascii="Yu Gothic" w:hAnsi="Yu Gothic" w:eastAsia="Yu Gothic"/>
                <w:b w:val="0"/>
                <w:color w:val="111111"/>
                <w:sz w:val="18"/>
              </w:rPr>
              <w:t>日本・米国・欧州・中国・インドで特許取得と会社側が説明</w:t>
            </w:r>
          </w:p>
        </w:tc>
      </w:tr>
      <w:tr>
        <w:trPr>
          <w:cantSplit/>
        </w:trPr>
        <w:tc>
          <w:tcPr>
            <w:tcW w:type="dxa" w:w="4400"/>
          </w:tcPr>
          <w:p>
            <w:r>
              <w:rPr>
                <w:rFonts w:ascii="Yu Gothic" w:hAnsi="Yu Gothic" w:eastAsia="Yu Gothic"/>
                <w:b/>
                <w:color w:val="19324A"/>
                <w:sz w:val="18"/>
              </w:rPr>
              <w:t>投資可能な企業へ整備</w:t>
            </w:r>
          </w:p>
        </w:tc>
        <w:tc>
          <w:tcPr>
            <w:tcW w:type="dxa" w:w="4960"/>
          </w:tcPr>
          <w:p>
            <w:r>
              <w:rPr>
                <w:rFonts w:ascii="Yu Gothic" w:hAnsi="Yu Gothic" w:eastAsia="Yu Gothic"/>
                <w:b w:val="0"/>
                <w:color w:val="111111"/>
                <w:sz w:val="18"/>
              </w:rPr>
              <w:t>GMP製造、品質保証、経営管理、人材採用を強化</w:t>
            </w:r>
          </w:p>
        </w:tc>
      </w:tr>
      <w:tr>
        <w:trPr>
          <w:cantSplit/>
        </w:trPr>
        <w:tc>
          <w:tcPr>
            <w:tcW w:type="dxa" w:w="4400"/>
            <w:shd w:fill="F2F4F7"/>
          </w:tcPr>
          <w:p>
            <w:r>
              <w:rPr>
                <w:rFonts w:ascii="Yu Gothic" w:hAnsi="Yu Gothic" w:eastAsia="Yu Gothic"/>
                <w:b/>
                <w:color w:val="19324A"/>
                <w:sz w:val="18"/>
              </w:rPr>
              <w:t>海外資本・市場へ接続</w:t>
            </w:r>
          </w:p>
        </w:tc>
        <w:tc>
          <w:tcPr>
            <w:tcW w:type="dxa" w:w="4960"/>
            <w:shd w:fill="F2F4F7"/>
          </w:tcPr>
          <w:p>
            <w:r>
              <w:rPr>
                <w:rFonts w:ascii="Yu Gothic" w:hAnsi="Yu Gothic" w:eastAsia="Yu Gothic"/>
                <w:b w:val="0"/>
                <w:color w:val="111111"/>
                <w:sz w:val="18"/>
              </w:rPr>
              <w:t>特に米国でのマーケティングと顧客開拓を計画</w:t>
            </w:r>
          </w:p>
        </w:tc>
      </w:tr>
      <w:tr>
        <w:trPr>
          <w:cantSplit/>
        </w:trPr>
        <w:tc>
          <w:tcPr>
            <w:tcW w:type="dxa" w:w="4400"/>
          </w:tcPr>
          <w:p>
            <w:r>
              <w:rPr>
                <w:rFonts w:ascii="Yu Gothic" w:hAnsi="Yu Gothic" w:eastAsia="Yu Gothic"/>
                <w:b/>
                <w:color w:val="19324A"/>
                <w:sz w:val="18"/>
              </w:rPr>
              <w:t>価値創造後にEXIT</w:t>
            </w:r>
          </w:p>
        </w:tc>
        <w:tc>
          <w:tcPr>
            <w:tcW w:type="dxa" w:w="4960"/>
          </w:tcPr>
          <w:p>
            <w:r>
              <w:rPr>
                <w:rFonts w:ascii="Yu Gothic" w:hAnsi="Yu Gothic" w:eastAsia="Yu Gothic"/>
                <w:b w:val="0"/>
                <w:color w:val="111111"/>
                <w:sz w:val="18"/>
              </w:rPr>
              <w:t>企業価値を高め、最適なIPO・M&amp;A等を目指す</w:t>
            </w:r>
          </w:p>
        </w:tc>
      </w:tr>
    </w:tbl>
    <w:p>
      <w:pPr>
        <w:pStyle w:val="Heading2"/>
        <w:keepNext/>
      </w:pPr>
      <w:r>
        <w:t>Blockmer®の事業的意味</w:t>
      </w:r>
    </w:p>
    <w:p>
      <w:pPr>
        <w:spacing w:after="120"/>
      </w:pPr>
      <w:r>
        <w:rPr>
          <w:rFonts w:ascii="Yu Gothic" w:hAnsi="Yu Gothic" w:eastAsia="Yu Gothic"/>
          <w:b w:val="0"/>
          <w:i w:val="0"/>
        </w:rPr>
        <w:t>従来法は塩基を一つずつ結合するため、長鎖化するほど工程と不純物が増える。Blockmer®は、あらかじめ複数塩基をつないだブロックを組み合わせ、工程数を大幅に減らす。会社側は、製造期間、コスト、不純物、生産性の課題を同時に改善できる点を競争力としている。</w:t>
      </w:r>
    </w:p>
    <w:p>
      <w:pPr>
        <w:spacing w:after="120"/>
      </w:pPr>
      <w:r>
        <w:rPr>
          <w:rFonts w:ascii="Yu Gothic" w:hAnsi="Yu Gothic" w:eastAsia="Yu Gothic"/>
          <w:b w:val="0"/>
          <w:i w:val="0"/>
        </w:rPr>
        <w:t>特に狙う領域は、ゲノム編集で酵素を標的へ導く長鎖ガイドRNAである。高純度・安定供給が難しいため、開発企業が増えるほど製造技術への需要が高まる“ツルハシ型”の位置にある。</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90" w:type="dxa"/>
              <w:start w:w="120" w:type="dxa"/>
              <w:bottom w:w="90" w:type="dxa"/>
              <w:end w:w="120" w:type="dxa"/>
            </w:tcMar>
            <w:shd w:fill="FFF4D6"/>
            <w:vAlign w:val="center"/>
          </w:tcPr>
          <w:p>
            <w:pPr>
              <w:spacing w:after="40" w:line="264" w:lineRule="auto"/>
            </w:pPr>
            <w:r>
              <w:rPr>
                <w:rFonts w:ascii="Yu Gothic" w:hAnsi="Yu Gothic" w:eastAsia="Yu Gothic"/>
                <w:b/>
                <w:color w:val="8A6500"/>
                <w:sz w:val="21"/>
              </w:rPr>
              <w:t xml:space="preserve">会社側の成長目標  </w:t>
            </w:r>
            <w:r>
              <w:rPr>
                <w:rFonts w:ascii="Yu Gothic" w:hAnsi="Yu Gothic" w:eastAsia="Yu Gothic"/>
                <w:b w:val="0"/>
                <w:color w:val="111111"/>
                <w:sz w:val="21"/>
              </w:rPr>
              <w:t>3～5年以内に売上数十億円、10年後に数百億円を目指せるとの見通しが動画で示された。これは実績ではなく、製造体制・顧客獲得・商用化が進んだ場合の経営目標として扱う。</w:t>
            </w:r>
          </w:p>
        </w:tc>
      </w:tr>
    </w:tbl>
    <w:p>
      <w:pPr>
        <w:spacing w:after="20"/>
      </w:pPr>
    </w:p>
    <w:p>
      <w:r>
        <w:br w:type="page"/>
      </w:r>
    </w:p>
    <w:p>
      <w:pPr>
        <w:pStyle w:val="Heading1"/>
        <w:keepNext/>
      </w:pPr>
      <w:r>
        <w:t>5｜“8割超”発言の読み方</w:t>
      </w:r>
    </w:p>
    <w:p>
      <w:pPr>
        <w:spacing w:after="120"/>
      </w:pPr>
      <w:r>
        <w:rPr>
          <w:rFonts w:ascii="Yu Gothic" w:hAnsi="Yu Gothic" w:eastAsia="Yu Gothic"/>
          <w:b w:val="0"/>
          <w:i w:val="0"/>
        </w:rPr>
        <w:t>ナティアス動画の16分台には、音声認識で「潜在的ですけど、シェアについては8割を超える」と記録された箇所がある。文脈上は「潜在株式も含めて、8割を超えるようなシェア（持分）」と発言している可能性が高い。ここでいうシェアは、市場シェアではなく株式等の持分比率を指すと読むのが自然である。</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90" w:type="dxa"/>
              <w:start w:w="120" w:type="dxa"/>
              <w:bottom w:w="90" w:type="dxa"/>
              <w:end w:w="120" w:type="dxa"/>
            </w:tcMar>
            <w:shd w:fill="FBECEF"/>
            <w:vAlign w:val="center"/>
          </w:tcPr>
          <w:p>
            <w:pPr>
              <w:spacing w:after="40" w:line="264" w:lineRule="auto"/>
            </w:pPr>
            <w:r>
              <w:rPr>
                <w:rFonts w:ascii="Yu Gothic" w:hAnsi="Yu Gothic" w:eastAsia="Yu Gothic"/>
                <w:b/>
                <w:color w:val="C8102E"/>
                <w:sz w:val="21"/>
              </w:rPr>
              <w:t xml:space="preserve">重要な推論  </w:t>
            </w:r>
            <w:r>
              <w:rPr>
                <w:rFonts w:ascii="Yu Gothic" w:hAnsi="Yu Gothic" w:eastAsia="Yu Gothic"/>
                <w:b w:val="0"/>
                <w:color w:val="111111"/>
                <w:sz w:val="21"/>
              </w:rPr>
              <w:t>もしNBI側が潜在株式を含めて8割超の持分を確保する設計なら、これは一般的な少数出資ではなく、経営支配に近い大型案件である可能性を示す。</w:t>
            </w:r>
          </w:p>
        </w:tc>
      </w:tr>
    </w:tbl>
    <w:p>
      <w:pPr>
        <w:spacing w:after="20"/>
      </w:pPr>
    </w:p>
    <w:p>
      <w:pPr>
        <w:pStyle w:val="Heading2"/>
        <w:keepNext/>
      </w:pPr>
      <w:r>
        <w:t>ただし、まだ確認できないこと</w:t>
      </w:r>
    </w:p>
    <w:p>
      <w:pPr>
        <w:pStyle w:val="ListBullet"/>
        <w:spacing w:after="80" w:line="269" w:lineRule="auto"/>
        <w:ind w:left="720" w:hanging="360"/>
      </w:pPr>
      <w:r>
        <w:rPr>
          <w:rFonts w:ascii="Yu Gothic" w:hAnsi="Yu Gothic" w:eastAsia="Yu Gothic"/>
          <w:sz w:val="20"/>
        </w:rPr>
        <w:t>公式の出資発表では、出資額および取得比率が開示されていない。</w:t>
      </w:r>
    </w:p>
    <w:p>
      <w:pPr>
        <w:pStyle w:val="ListBullet"/>
        <w:spacing w:after="80" w:line="269" w:lineRule="auto"/>
        <w:ind w:left="720" w:hanging="360"/>
      </w:pPr>
      <w:r>
        <w:rPr>
          <w:rFonts w:ascii="Yu Gothic" w:hAnsi="Yu Gothic" w:eastAsia="Yu Gothic"/>
          <w:sz w:val="20"/>
        </w:rPr>
        <w:t>8割超が現在の議決権比率なのか、転換権等の行使後を含む完全希薄化ベースなのか不明。</w:t>
      </w:r>
    </w:p>
    <w:p>
      <w:pPr>
        <w:pStyle w:val="ListBullet"/>
        <w:spacing w:after="80" w:line="269" w:lineRule="auto"/>
        <w:ind w:left="720" w:hanging="360"/>
      </w:pPr>
      <w:r>
        <w:rPr>
          <w:rFonts w:ascii="Yu Gothic" w:hAnsi="Yu Gothic" w:eastAsia="Yu Gothic"/>
          <w:sz w:val="20"/>
        </w:rPr>
        <w:t>持分の保有主体がNBI単体なのか、NBIが運用するBio Bridge Iなのかを厳密に分ける必要がある。</w:t>
      </w:r>
    </w:p>
    <w:p>
      <w:pPr>
        <w:pStyle w:val="ListBullet"/>
        <w:spacing w:after="80" w:line="269" w:lineRule="auto"/>
        <w:ind w:left="720" w:hanging="360"/>
      </w:pPr>
      <w:r>
        <w:rPr>
          <w:rFonts w:ascii="Yu Gothic" w:hAnsi="Yu Gothic" w:eastAsia="Yu Gothic"/>
          <w:sz w:val="20"/>
        </w:rPr>
        <w:t>ファンドの外部出資者、優先分配、管理報酬、成功報酬等により、NANO株主へ帰属する経済価値は変わる。</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90" w:type="dxa"/>
              <w:start w:w="120" w:type="dxa"/>
              <w:bottom w:w="90" w:type="dxa"/>
              <w:end w:w="120" w:type="dxa"/>
            </w:tcMar>
            <w:shd w:fill="FFF4D6"/>
            <w:vAlign w:val="center"/>
          </w:tcPr>
          <w:p>
            <w:pPr>
              <w:spacing w:after="40" w:line="264" w:lineRule="auto"/>
            </w:pPr>
            <w:r>
              <w:rPr>
                <w:rFonts w:ascii="Yu Gothic" w:hAnsi="Yu Gothic" w:eastAsia="Yu Gothic"/>
                <w:b/>
                <w:color w:val="8A6500"/>
                <w:sz w:val="21"/>
              </w:rPr>
              <w:t xml:space="preserve">投資判断上の原則  </w:t>
            </w:r>
            <w:r>
              <w:rPr>
                <w:rFonts w:ascii="Yu Gothic" w:hAnsi="Yu Gothic" w:eastAsia="Yu Gothic"/>
                <w:b w:val="0"/>
                <w:color w:val="111111"/>
                <w:sz w:val="21"/>
              </w:rPr>
              <w:t>ナティアス企業価値の8割を、そのままNANOホールディングスの株主価値へ足し込まない。取得比率、ファンド構成、連結範囲、EXIT時の分配条件が開示されて初めて定量評価できる。</w:t>
            </w:r>
          </w:p>
        </w:tc>
      </w:tr>
    </w:tbl>
    <w:p>
      <w:pPr>
        <w:spacing w:after="20"/>
      </w:pPr>
    </w:p>
    <w:p>
      <w:pPr>
        <w:pStyle w:val="Heading2"/>
        <w:keepNext/>
      </w:pPr>
      <w:r>
        <w:t>NANO MRNAの創薬とナティアス製造の関係</w:t>
      </w:r>
    </w:p>
    <w:p>
      <w:pPr>
        <w:spacing w:after="120"/>
      </w:pPr>
      <w:r>
        <w:rPr>
          <w:rFonts w:ascii="Yu Gothic" w:hAnsi="Yu Gothic" w:eastAsia="Yu Gothic"/>
          <w:b w:val="0"/>
          <w:i w:val="0"/>
        </w:rPr>
        <w:t>NANO MRNAのDDS・mRNA・変形性関節症等の創薬案件と、ナティアスの核酸製造は異なる層の事業である。送達技術と原料製造が将来接続すれば相乗効果はあり得るが、現段階で特定案件の製造統合や独占関係を断定する材料はない。</w:t>
      </w:r>
    </w:p>
    <w:p>
      <w:r>
        <w:br w:type="page"/>
      </w:r>
    </w:p>
    <w:p>
      <w:pPr>
        <w:pStyle w:val="Heading1"/>
        <w:keepNext/>
      </w:pPr>
      <w:r>
        <w:t>6｜現在の評価と今後の観測項目</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90" w:type="dxa"/>
              <w:start w:w="120" w:type="dxa"/>
              <w:bottom w:w="90" w:type="dxa"/>
              <w:end w:w="120" w:type="dxa"/>
            </w:tcMar>
            <w:shd w:fill="FBECEF"/>
            <w:vAlign w:val="center"/>
          </w:tcPr>
          <w:p>
            <w:pPr>
              <w:spacing w:after="40" w:line="264" w:lineRule="auto"/>
            </w:pPr>
            <w:r>
              <w:rPr>
                <w:rFonts w:ascii="Yu Gothic" w:hAnsi="Yu Gothic" w:eastAsia="Yu Gothic"/>
                <w:b/>
                <w:color w:val="C8102E"/>
                <w:sz w:val="21"/>
              </w:rPr>
              <w:t xml:space="preserve">現在の評価  </w:t>
            </w:r>
            <w:r>
              <w:rPr>
                <w:rFonts w:ascii="Yu Gothic" w:hAnsi="Yu Gothic" w:eastAsia="Yu Gothic"/>
                <w:b w:val="0"/>
                <w:color w:val="111111"/>
                <w:sz w:val="21"/>
              </w:rPr>
              <w:t>NANOは「創薬一本の成功を待つ会社」から、「日本の科学を発掘し、資本・臨床・事業開発・EXITへ接続する戦略投資会社」へ転換しつつある。ナティアスは、その転換が言葉だけでなく実行に移ったことを示す重要案件である。</w:t>
            </w:r>
          </w:p>
        </w:tc>
      </w:tr>
    </w:tbl>
    <w:p>
      <w:pPr>
        <w:spacing w:after="20"/>
      </w:pPr>
    </w:p>
    <w:tbl>
      <w:tblPr>
        <w:tblW w:type="dxa" w:w="9360"/>
        <w:jc w:val="left"/>
        <w:tblLayout w:type="fixed"/>
        <w:tblLook w:firstColumn="1" w:firstRow="1" w:lastColumn="0" w:lastRow="0" w:noHBand="0" w:noVBand="1" w:val="04A0"/>
        <w:tblInd w:w="120" w:type="dxa"/>
      </w:tblPr>
      <w:tblGrid>
        <w:gridCol w:w="1000"/>
        <w:gridCol w:w="3500"/>
        <w:gridCol w:w="4860"/>
      </w:tblGrid>
      <w:tr>
        <w:trPr>
          <w:tblHeader w:val="true"/>
          <w:cantSplit/>
        </w:trPr>
        <w:tc>
          <w:tcPr>
            <w:tcW w:type="dxa" w:w="1000"/>
            <w:tcMar>
              <w:top w:w="90" w:type="dxa"/>
              <w:start w:w="120" w:type="dxa"/>
              <w:bottom w:w="90" w:type="dxa"/>
              <w:end w:w="120" w:type="dxa"/>
            </w:tcMar>
            <w:shd w:fill="19324A"/>
          </w:tcPr>
          <w:p>
            <w:pPr>
              <w:jc w:val="center"/>
            </w:pPr>
            <w:r>
              <w:rPr>
                <w:rFonts w:ascii="Yu Gothic" w:hAnsi="Yu Gothic" w:eastAsia="Yu Gothic"/>
                <w:b/>
                <w:color w:val="FFFFFF"/>
                <w:sz w:val="18"/>
              </w:rPr>
              <w:t>優先度</w:t>
            </w:r>
          </w:p>
        </w:tc>
        <w:tc>
          <w:tcPr>
            <w:tcW w:type="dxa" w:w="3500"/>
            <w:tcMar>
              <w:top w:w="90" w:type="dxa"/>
              <w:start w:w="120" w:type="dxa"/>
              <w:bottom w:w="90" w:type="dxa"/>
              <w:end w:w="120" w:type="dxa"/>
            </w:tcMar>
            <w:shd w:fill="19324A"/>
          </w:tcPr>
          <w:p>
            <w:pPr>
              <w:jc w:val="center"/>
            </w:pPr>
            <w:r>
              <w:rPr>
                <w:rFonts w:ascii="Yu Gothic" w:hAnsi="Yu Gothic" w:eastAsia="Yu Gothic"/>
                <w:b/>
                <w:color w:val="FFFFFF"/>
                <w:sz w:val="18"/>
              </w:rPr>
              <w:t>観測項目</w:t>
            </w:r>
          </w:p>
        </w:tc>
        <w:tc>
          <w:tcPr>
            <w:tcW w:type="dxa" w:w="4860"/>
            <w:tcMar>
              <w:top w:w="90" w:type="dxa"/>
              <w:start w:w="120" w:type="dxa"/>
              <w:bottom w:w="90" w:type="dxa"/>
              <w:end w:w="120" w:type="dxa"/>
            </w:tcMar>
            <w:shd w:fill="19324A"/>
          </w:tcPr>
          <w:p>
            <w:pPr>
              <w:jc w:val="center"/>
            </w:pPr>
            <w:r>
              <w:rPr>
                <w:rFonts w:ascii="Yu Gothic" w:hAnsi="Yu Gothic" w:eastAsia="Yu Gothic"/>
                <w:b/>
                <w:color w:val="FFFFFF"/>
                <w:sz w:val="18"/>
              </w:rPr>
              <w:t>確認したい事実</w:t>
            </w:r>
          </w:p>
        </w:tc>
      </w:tr>
      <w:tr>
        <w:trPr>
          <w:cantSplit/>
        </w:trPr>
        <w:tc>
          <w:tcPr>
            <w:tcW w:type="dxa" w:w="1000"/>
          </w:tcPr>
          <w:p>
            <w:pPr>
              <w:jc w:val="center"/>
            </w:pPr>
            <w:r>
              <w:rPr>
                <w:rFonts w:ascii="Yu Gothic" w:hAnsi="Yu Gothic" w:eastAsia="Yu Gothic"/>
                <w:b/>
                <w:color w:val="C8102E"/>
                <w:sz w:val="17"/>
              </w:rPr>
              <w:t>最重要</w:t>
            </w:r>
          </w:p>
        </w:tc>
        <w:tc>
          <w:tcPr>
            <w:tcW w:type="dxa" w:w="3500"/>
          </w:tcPr>
          <w:p>
            <w:r>
              <w:rPr>
                <w:rFonts w:ascii="Yu Gothic" w:hAnsi="Yu Gothic" w:eastAsia="Yu Gothic"/>
                <w:b w:val="0"/>
                <w:color w:val="111111"/>
                <w:sz w:val="17"/>
              </w:rPr>
              <w:t>ナティアスの取得比率・出資額</w:t>
            </w:r>
          </w:p>
        </w:tc>
        <w:tc>
          <w:tcPr>
            <w:tcW w:type="dxa" w:w="4860"/>
          </w:tcPr>
          <w:p>
            <w:r>
              <w:rPr>
                <w:rFonts w:ascii="Yu Gothic" w:hAnsi="Yu Gothic" w:eastAsia="Yu Gothic"/>
                <w:b w:val="0"/>
                <w:color w:val="111111"/>
                <w:sz w:val="17"/>
              </w:rPr>
              <w:t>8割超発言の正式確認、潜在株式を含む比率、議決権</w:t>
            </w:r>
          </w:p>
        </w:tc>
      </w:tr>
      <w:tr>
        <w:trPr>
          <w:cantSplit/>
        </w:trPr>
        <w:tc>
          <w:tcPr>
            <w:tcW w:type="dxa" w:w="1000"/>
            <w:shd w:fill="F2F4F7"/>
          </w:tcPr>
          <w:p>
            <w:pPr>
              <w:jc w:val="center"/>
            </w:pPr>
            <w:r>
              <w:rPr>
                <w:rFonts w:ascii="Yu Gothic" w:hAnsi="Yu Gothic" w:eastAsia="Yu Gothic"/>
                <w:b/>
                <w:color w:val="C8102E"/>
                <w:sz w:val="17"/>
              </w:rPr>
              <w:t>最重要</w:t>
            </w:r>
          </w:p>
        </w:tc>
        <w:tc>
          <w:tcPr>
            <w:tcW w:type="dxa" w:w="3500"/>
            <w:shd w:fill="F2F4F7"/>
          </w:tcPr>
          <w:p>
            <w:r>
              <w:rPr>
                <w:rFonts w:ascii="Yu Gothic" w:hAnsi="Yu Gothic" w:eastAsia="Yu Gothic"/>
                <w:b w:val="0"/>
                <w:color w:val="111111"/>
                <w:sz w:val="17"/>
              </w:rPr>
              <w:t>Bio Bridge Iのファンド構造</w:t>
            </w:r>
          </w:p>
        </w:tc>
        <w:tc>
          <w:tcPr>
            <w:tcW w:type="dxa" w:w="4860"/>
            <w:shd w:fill="F2F4F7"/>
          </w:tcPr>
          <w:p>
            <w:r>
              <w:rPr>
                <w:rFonts w:ascii="Yu Gothic" w:hAnsi="Yu Gothic" w:eastAsia="Yu Gothic"/>
                <w:b w:val="0"/>
                <w:color w:val="111111"/>
                <w:sz w:val="17"/>
              </w:rPr>
              <w:t>外部LP、NBIの持分、管理報酬、成功報酬、損益帰属</w:t>
            </w:r>
          </w:p>
        </w:tc>
      </w:tr>
      <w:tr>
        <w:trPr>
          <w:cantSplit/>
        </w:trPr>
        <w:tc>
          <w:tcPr>
            <w:tcW w:type="dxa" w:w="1000"/>
          </w:tcPr>
          <w:p>
            <w:pPr>
              <w:jc w:val="center"/>
            </w:pPr>
            <w:r>
              <w:rPr>
                <w:rFonts w:ascii="Yu Gothic" w:hAnsi="Yu Gothic" w:eastAsia="Yu Gothic"/>
                <w:b/>
                <w:color w:val="19324A"/>
                <w:sz w:val="17"/>
              </w:rPr>
              <w:t>高</w:t>
            </w:r>
          </w:p>
        </w:tc>
        <w:tc>
          <w:tcPr>
            <w:tcW w:type="dxa" w:w="3500"/>
          </w:tcPr>
          <w:p>
            <w:r>
              <w:rPr>
                <w:rFonts w:ascii="Yu Gothic" w:hAnsi="Yu Gothic" w:eastAsia="Yu Gothic"/>
                <w:b w:val="0"/>
                <w:color w:val="111111"/>
                <w:sz w:val="17"/>
              </w:rPr>
              <w:t>GMP製造体制</w:t>
            </w:r>
          </w:p>
        </w:tc>
        <w:tc>
          <w:tcPr>
            <w:tcW w:type="dxa" w:w="4860"/>
          </w:tcPr>
          <w:p>
            <w:r>
              <w:rPr>
                <w:rFonts w:ascii="Yu Gothic" w:hAnsi="Yu Gothic" w:eastAsia="Yu Gothic"/>
                <w:b w:val="0"/>
                <w:color w:val="111111"/>
                <w:sz w:val="17"/>
              </w:rPr>
              <w:t>設備投資、認証、品質保証人材、稼働開始時期</w:t>
            </w:r>
          </w:p>
        </w:tc>
      </w:tr>
      <w:tr>
        <w:trPr>
          <w:cantSplit/>
        </w:trPr>
        <w:tc>
          <w:tcPr>
            <w:tcW w:type="dxa" w:w="1000"/>
            <w:shd w:fill="F2F4F7"/>
          </w:tcPr>
          <w:p>
            <w:pPr>
              <w:jc w:val="center"/>
            </w:pPr>
            <w:r>
              <w:rPr>
                <w:rFonts w:ascii="Yu Gothic" w:hAnsi="Yu Gothic" w:eastAsia="Yu Gothic"/>
                <w:b/>
                <w:color w:val="19324A"/>
                <w:sz w:val="17"/>
              </w:rPr>
              <w:t>高</w:t>
            </w:r>
          </w:p>
        </w:tc>
        <w:tc>
          <w:tcPr>
            <w:tcW w:type="dxa" w:w="3500"/>
            <w:shd w:fill="F2F4F7"/>
          </w:tcPr>
          <w:p>
            <w:r>
              <w:rPr>
                <w:rFonts w:ascii="Yu Gothic" w:hAnsi="Yu Gothic" w:eastAsia="Yu Gothic"/>
                <w:b w:val="0"/>
                <w:color w:val="111111"/>
                <w:sz w:val="17"/>
              </w:rPr>
              <w:t>海外顧客・提携</w:t>
            </w:r>
          </w:p>
        </w:tc>
        <w:tc>
          <w:tcPr>
            <w:tcW w:type="dxa" w:w="4860"/>
            <w:shd w:fill="F2F4F7"/>
          </w:tcPr>
          <w:p>
            <w:r>
              <w:rPr>
                <w:rFonts w:ascii="Yu Gothic" w:hAnsi="Yu Gothic" w:eastAsia="Yu Gothic"/>
                <w:b w:val="0"/>
                <w:color w:val="111111"/>
                <w:sz w:val="17"/>
              </w:rPr>
              <w:t>米国製薬・バイオ・化学会社との契約、受注、ライセンス</w:t>
            </w:r>
          </w:p>
        </w:tc>
      </w:tr>
      <w:tr>
        <w:trPr>
          <w:cantSplit/>
        </w:trPr>
        <w:tc>
          <w:tcPr>
            <w:tcW w:type="dxa" w:w="1000"/>
          </w:tcPr>
          <w:p>
            <w:pPr>
              <w:jc w:val="center"/>
            </w:pPr>
            <w:r>
              <w:rPr>
                <w:rFonts w:ascii="Yu Gothic" w:hAnsi="Yu Gothic" w:eastAsia="Yu Gothic"/>
                <w:b/>
                <w:color w:val="19324A"/>
                <w:sz w:val="17"/>
              </w:rPr>
              <w:t>高</w:t>
            </w:r>
          </w:p>
        </w:tc>
        <w:tc>
          <w:tcPr>
            <w:tcW w:type="dxa" w:w="3500"/>
          </w:tcPr>
          <w:p>
            <w:r>
              <w:rPr>
                <w:rFonts w:ascii="Yu Gothic" w:hAnsi="Yu Gothic" w:eastAsia="Yu Gothic"/>
                <w:b w:val="0"/>
                <w:color w:val="111111"/>
                <w:sz w:val="17"/>
              </w:rPr>
              <w:t>量産化</w:t>
            </w:r>
          </w:p>
        </w:tc>
        <w:tc>
          <w:tcPr>
            <w:tcW w:type="dxa" w:w="4860"/>
          </w:tcPr>
          <w:p>
            <w:r>
              <w:rPr>
                <w:rFonts w:ascii="Yu Gothic" w:hAnsi="Yu Gothic" w:eastAsia="Yu Gothic"/>
                <w:b w:val="0"/>
                <w:color w:val="111111"/>
                <w:sz w:val="17"/>
              </w:rPr>
              <w:t>kgスケールから商用安定生産への移行、歩留まり、原価</w:t>
            </w:r>
          </w:p>
        </w:tc>
      </w:tr>
      <w:tr>
        <w:trPr>
          <w:cantSplit/>
        </w:trPr>
        <w:tc>
          <w:tcPr>
            <w:tcW w:type="dxa" w:w="1000"/>
            <w:shd w:fill="F2F4F7"/>
          </w:tcPr>
          <w:p>
            <w:pPr>
              <w:jc w:val="center"/>
            </w:pPr>
            <w:r>
              <w:rPr>
                <w:rFonts w:ascii="Yu Gothic" w:hAnsi="Yu Gothic" w:eastAsia="Yu Gothic"/>
                <w:b/>
                <w:color w:val="19324A"/>
                <w:sz w:val="17"/>
              </w:rPr>
              <w:t>中</w:t>
            </w:r>
          </w:p>
        </w:tc>
        <w:tc>
          <w:tcPr>
            <w:tcW w:type="dxa" w:w="3500"/>
            <w:shd w:fill="F2F4F7"/>
          </w:tcPr>
          <w:p>
            <w:r>
              <w:rPr>
                <w:rFonts w:ascii="Yu Gothic" w:hAnsi="Yu Gothic" w:eastAsia="Yu Gothic"/>
                <w:b w:val="0"/>
                <w:color w:val="111111"/>
                <w:sz w:val="17"/>
              </w:rPr>
              <w:t>米国VCとの連携</w:t>
            </w:r>
          </w:p>
        </w:tc>
        <w:tc>
          <w:tcPr>
            <w:tcW w:type="dxa" w:w="4860"/>
            <w:shd w:fill="F2F4F7"/>
          </w:tcPr>
          <w:p>
            <w:r>
              <w:rPr>
                <w:rFonts w:ascii="Yu Gothic" w:hAnsi="Yu Gothic" w:eastAsia="Yu Gothic"/>
                <w:b w:val="0"/>
                <w:color w:val="111111"/>
                <w:sz w:val="17"/>
              </w:rPr>
              <w:t>約20社との協議から具体的な共同投資・契約が生まれるか</w:t>
            </w:r>
          </w:p>
        </w:tc>
      </w:tr>
      <w:tr>
        <w:trPr>
          <w:cantSplit/>
        </w:trPr>
        <w:tc>
          <w:tcPr>
            <w:tcW w:type="dxa" w:w="1000"/>
          </w:tcPr>
          <w:p>
            <w:pPr>
              <w:jc w:val="center"/>
            </w:pPr>
            <w:r>
              <w:rPr>
                <w:rFonts w:ascii="Yu Gothic" w:hAnsi="Yu Gothic" w:eastAsia="Yu Gothic"/>
                <w:b/>
                <w:color w:val="19324A"/>
                <w:sz w:val="17"/>
              </w:rPr>
              <w:t>中</w:t>
            </w:r>
          </w:p>
        </w:tc>
        <w:tc>
          <w:tcPr>
            <w:tcW w:type="dxa" w:w="3500"/>
          </w:tcPr>
          <w:p>
            <w:r>
              <w:rPr>
                <w:rFonts w:ascii="Yu Gothic" w:hAnsi="Yu Gothic" w:eastAsia="Yu Gothic"/>
                <w:b w:val="0"/>
                <w:color w:val="111111"/>
                <w:sz w:val="17"/>
              </w:rPr>
              <w:t>EXIT設計</w:t>
            </w:r>
          </w:p>
        </w:tc>
        <w:tc>
          <w:tcPr>
            <w:tcW w:type="dxa" w:w="4860"/>
          </w:tcPr>
          <w:p>
            <w:r>
              <w:rPr>
                <w:rFonts w:ascii="Yu Gothic" w:hAnsi="Yu Gothic" w:eastAsia="Yu Gothic"/>
                <w:b w:val="0"/>
                <w:color w:val="111111"/>
                <w:sz w:val="17"/>
              </w:rPr>
              <w:t>IPO、M&amp;A、事業会社への売却、地域別ライセンスの選択</w:t>
            </w:r>
          </w:p>
        </w:tc>
      </w:tr>
    </w:tbl>
    <w:p>
      <w:pPr>
        <w:pStyle w:val="Heading2"/>
        <w:keepNext/>
      </w:pPr>
      <w:r>
        <w:t>観測メモとしての最終結論</w:t>
      </w:r>
    </w:p>
    <w:p>
      <w:pPr>
        <w:spacing w:after="140"/>
      </w:pPr>
      <w:r>
        <w:rPr>
          <w:rFonts w:ascii="Yu Gothic" w:hAnsi="Yu Gothic" w:eastAsia="Yu Gothic"/>
          <w:b w:val="0"/>
          <w:i w:val="0"/>
        </w:rPr>
        <w:t>この2本の資料は、「Gateway構想」という設計図と、「ナティアス投資」という第一号の施工例である。NANOが狙う価値は、技術を安く買って高く売るだけではない。日本の科学に不足していた資本、臨床設計、会社の器、海外事業開発、EXIT経路を付け加えることで、技術そのものの評価水準を変えることにある。</w:t>
      </w:r>
    </w:p>
    <w:p>
      <w:pPr>
        <w:spacing w:after="200"/>
      </w:pPr>
      <w:r>
        <w:rPr>
          <w:rFonts w:ascii="Yu Gothic" w:hAnsi="Yu Gothic" w:eastAsia="Yu Gothic"/>
          <w:b/>
          <w:i w:val="0"/>
          <w:color w:val="19324A"/>
          <w:sz w:val="21"/>
        </w:rPr>
        <w:t>現時点は、金脈を見つけた段階から、採掘設備・運搬路・販売先を整える段階へ移ったと評価できる。ただし、株主価値への転換を確認するには、持分、契約、受注、GMP化、ファンド収益配分という“数字の証拠”が必要である。</w:t>
      </w:r>
    </w:p>
    <w:p>
      <w:pPr>
        <w:pStyle w:val="Heading2"/>
        <w:keepNext/>
      </w:pPr>
      <w:r>
        <w:t>資料・出典</w:t>
      </w:r>
    </w:p>
    <w:p>
      <w:pPr>
        <w:pStyle w:val="SmallSource"/>
      </w:pPr>
      <w:r>
        <w:rPr>
          <w:rFonts w:ascii="Yu Gothic" w:hAnsi="Yu Gothic" w:eastAsia="Yu Gothic"/>
          <w:b w:val="0"/>
          <w:color w:val="555555"/>
          <w:sz w:val="17"/>
        </w:rPr>
        <w:t>NANOホールディングス IR動画：日本の創薬・技術を世界へつなぐNANO Gateway構想（Dr. Neil Gibson特別対談）</w:t>
      </w:r>
    </w:p>
    <w:p>
      <w:pPr>
        <w:pStyle w:val="SmallSource"/>
      </w:pPr>
      <w:r>
        <w:rPr>
          <w:rFonts w:ascii="Yu Gothic" w:hAnsi="Yu Gothic" w:eastAsia="Yu Gothic"/>
          <w:b w:val="0"/>
          <w:color w:val="555555"/>
          <w:sz w:val="17"/>
        </w:rPr>
        <w:t>NANOホールディングス IR動画：NBIがナティアスへ投資を決定｜その技術と成長可能性とは</w:t>
      </w:r>
    </w:p>
    <w:p>
      <w:pPr>
        <w:pStyle w:val="SmallSource"/>
      </w:pPr>
      <w:r>
        <w:rPr>
          <w:rFonts w:ascii="Yu Gothic" w:hAnsi="Yu Gothic" w:eastAsia="Yu Gothic"/>
          <w:b w:val="0"/>
          <w:color w:val="555555"/>
          <w:sz w:val="17"/>
        </w:rPr>
        <w:t>NANOホールディングス株式会社「当社投資子会社が運営するファンド『Bio Bridge I』株式会社ナティアスへ出資」（2026年7月31日）</w:t>
      </w:r>
    </w:p>
    <w:p>
      <w:pPr>
        <w:pStyle w:val="SmallSource"/>
      </w:pPr>
      <w:r>
        <w:rPr>
          <w:rFonts w:ascii="Yu Gothic" w:hAnsi="Yu Gothic" w:eastAsia="Yu Gothic"/>
          <w:b w:val="0"/>
          <w:color w:val="555555"/>
          <w:sz w:val="17"/>
        </w:rPr>
        <w:t>本観測メモは公開資料・動画発言を整理したものであり、投資勧誘を目的としない。将来予測・目標値には不確実性がある。</w:t>
      </w:r>
    </w:p>
    <w:sectPr w:rsidR="00FC693F" w:rsidRPr="0006063C" w:rsidSect="00034616">
      <w:headerReference w:type="default" r:id="rId9"/>
      <w:footerReference w:type="default" r:id="rId10"/>
      <w:pgSz w:w="12240" w:h="15840"/>
      <w:pgMar w:top="1181" w:right="1296" w:bottom="1181" w:left="1296" w:header="605" w:footer="6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Yu Gothic"/>
        <w:b w:val="0"/>
        <w:color w:val="555555"/>
        <w:sz w:val="17"/>
      </w:rPr>
      <w:t xml:space="preserve">- </w:t>
    </w:r>
    <w:fldSimple w:instr="PAGE"/>
    <w:r>
      <w:rPr>
        <w:rFonts w:ascii="Yu Gothic" w:hAnsi="Yu Gothic" w:eastAsia="Yu Gothic"/>
        <w:b w:val="0"/>
        <w:color w:val="555555"/>
        <w:sz w:val="17"/>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Yu Gothic" w:hAnsi="Yu Gothic" w:eastAsia="Yu Gothic"/>
        <w:b/>
        <w:color w:val="555555"/>
        <w:sz w:val="17"/>
      </w:rPr>
      <w:t>NANO HOLDINGS  |  観測メモ</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Yu Gothic" w:hAnsi="Yu Gothic" w:eastAsia="Yu Gothic"/>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Yu Gothic" w:hAnsi="Yu Gothic" w:eastAsia="Yu Gothic"/>
      <w:b/>
      <w:bCs/>
      <w:color w:val="19324A"/>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Yu Gothic" w:hAnsi="Yu Gothic" w:eastAsia="Yu Gothic"/>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Yu Gothic" w:hAnsi="Yu Gothic" w:eastAsia="Yu Gothic"/>
      <w:b/>
      <w:bCs/>
      <w:color w:val="19324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Source">
    <w:name w:val="Small Source"/>
    <w:pPr>
      <w:spacing w:before="60" w:after="60" w:line="252" w:lineRule="auto"/>
    </w:pPr>
    <w:rPr>
      <w:rFonts w:ascii="Yu Gothic" w:hAnsi="Yu Gothic" w:eastAsia="Yu Gothic"/>
      <w:color w:val="555555"/>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NANO Gateway構想からナティアス投資の実行へ</dc:title>
  <dc:subject>NANOホールディングス／NBI／ナティアス 観測メモ</dc:subject>
  <dc:creator>寄り道研究所</dc:creator>
  <cp:keywords/>
  <dc:description>公開資料に基づく観測整理。投資勧誘ではありません。</dc:description>
  <cp:lastModifiedBy/>
  <cp:revision>1</cp:revision>
  <dcterms:created xsi:type="dcterms:W3CDTF">2013-12-23T23:15:00Z</dcterms:created>
  <dcterms:modified xsi:type="dcterms:W3CDTF">2013-12-23T23:15:00Z</dcterms:modified>
  <cp:category/>
</cp:coreProperties>
</file>